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77EE2F">
      <w:pPr>
        <w:spacing w:line="440" w:lineRule="exact"/>
        <w:jc w:val="center"/>
        <w:outlineLvl w:val="0"/>
        <w:rPr>
          <w:rFonts w:ascii="宋体" w:cs="宋体"/>
          <w:b/>
          <w:bCs/>
          <w:sz w:val="44"/>
          <w:szCs w:val="44"/>
        </w:rPr>
      </w:pPr>
      <w:r>
        <w:rPr>
          <w:rFonts w:hint="eastAsia" w:ascii="宋体" w:hAnsi="宋体" w:cs="宋体"/>
          <w:b/>
          <w:bCs/>
          <w:sz w:val="44"/>
          <w:szCs w:val="44"/>
        </w:rPr>
        <w:t>东北林业大学</w:t>
      </w:r>
    </w:p>
    <w:p w14:paraId="37E89BA0">
      <w:pPr>
        <w:spacing w:line="440" w:lineRule="exact"/>
        <w:jc w:val="center"/>
        <w:outlineLvl w:val="0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/>
          <w:b/>
          <w:bCs/>
          <w:sz w:val="36"/>
          <w:szCs w:val="36"/>
        </w:rPr>
        <w:t>202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年硕士研究生招生考试复试科目考试大纲</w:t>
      </w:r>
    </w:p>
    <w:p w14:paraId="6EB62346">
      <w:pPr>
        <w:spacing w:line="440" w:lineRule="exact"/>
        <w:jc w:val="center"/>
        <w:outlineLvl w:val="0"/>
        <w:rPr>
          <w:rFonts w:ascii="宋体"/>
          <w:b/>
          <w:bCs/>
          <w:sz w:val="32"/>
          <w:szCs w:val="32"/>
        </w:rPr>
      </w:pPr>
    </w:p>
    <w:p w14:paraId="7D70FDA1">
      <w:pPr>
        <w:adjustRightInd w:val="0"/>
        <w:snapToGrid w:val="0"/>
        <w:rPr>
          <w:rFonts w:ascii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4"/>
          <w:szCs w:val="24"/>
        </w:rPr>
        <w:t>复试科目名称</w:t>
      </w:r>
      <w:r>
        <w:rPr>
          <w:rFonts w:ascii="宋体" w:hAnsi="宋体" w:cs="宋体"/>
          <w:b/>
          <w:bCs/>
          <w:sz w:val="24"/>
          <w:szCs w:val="24"/>
        </w:rPr>
        <w:t xml:space="preserve">: </w:t>
      </w:r>
      <w:r>
        <w:rPr>
          <w:rFonts w:hint="eastAsia" w:ascii="宋体" w:hAnsi="宋体" w:cs="宋体"/>
          <w:b/>
          <w:bCs/>
          <w:sz w:val="24"/>
          <w:szCs w:val="24"/>
        </w:rPr>
        <w:t>暖</w:t>
      </w: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</w:rPr>
        <w:t>通空调</w:t>
      </w:r>
      <w:r>
        <w:rPr>
          <w:rFonts w:ascii="宋体" w:hAnsi="宋体" w:cs="宋体"/>
          <w:b/>
          <w:bCs/>
          <w:sz w:val="24"/>
          <w:szCs w:val="24"/>
        </w:rPr>
        <w:t xml:space="preserve"> </w:t>
      </w:r>
    </w:p>
    <w:tbl>
      <w:tblPr>
        <w:tblStyle w:val="3"/>
        <w:tblW w:w="0" w:type="auto"/>
        <w:tblInd w:w="-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 w14:paraId="58B22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</w:tcPr>
          <w:p w14:paraId="5C5542D1">
            <w:pPr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考试内容范围</w:t>
            </w:r>
            <w:r>
              <w:rPr>
                <w:rFonts w:ascii="宋体" w:hAnsi="宋体" w:cs="宋体"/>
                <w:sz w:val="24"/>
                <w:szCs w:val="24"/>
              </w:rPr>
              <w:t xml:space="preserve">: </w:t>
            </w:r>
          </w:p>
          <w:p w14:paraId="3224880D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供热工程</w:t>
            </w:r>
            <w:r>
              <w:rPr>
                <w:rFonts w:ascii="黑体" w:hAnsi="黑体" w:eastAsia="黑体"/>
                <w:sz w:val="24"/>
              </w:rPr>
              <w:t xml:space="preserve">部分: </w:t>
            </w:r>
          </w:p>
          <w:p w14:paraId="3E841697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sz w:val="24"/>
              </w:rPr>
              <w:t>设计热负荷</w:t>
            </w:r>
            <w:r>
              <w:rPr>
                <w:rFonts w:hint="eastAsia"/>
                <w:sz w:val="24"/>
              </w:rPr>
              <w:t>与</w:t>
            </w:r>
            <w:r>
              <w:rPr>
                <w:sz w:val="24"/>
              </w:rPr>
              <w:t>散热设备</w:t>
            </w:r>
          </w:p>
          <w:p w14:paraId="6C637DB6">
            <w:pPr>
              <w:numPr>
                <w:ilvl w:val="0"/>
                <w:numId w:val="2"/>
              </w:numPr>
              <w:tabs>
                <w:tab w:val="left" w:pos="747"/>
                <w:tab w:val="clear" w:pos="315"/>
              </w:tabs>
              <w:spacing w:line="380" w:lineRule="exact"/>
              <w:ind w:left="735"/>
            </w:pPr>
            <w:r>
              <w:rPr>
                <w:color w:val="000000"/>
              </w:rPr>
              <w:t>掌握建筑物围护结构基本耗热量、附加耗热量、冷风渗透耗热量、冷风侵入耗热量的计算方法</w:t>
            </w:r>
            <w:r>
              <w:rPr>
                <w:rFonts w:hint="eastAsia"/>
                <w:color w:val="000000"/>
              </w:rPr>
              <w:t>；</w:t>
            </w:r>
          </w:p>
          <w:p w14:paraId="3FDAADAC">
            <w:pPr>
              <w:numPr>
                <w:ilvl w:val="0"/>
                <w:numId w:val="2"/>
              </w:numPr>
              <w:tabs>
                <w:tab w:val="left" w:pos="747"/>
                <w:tab w:val="clear" w:pos="315"/>
              </w:tabs>
              <w:spacing w:line="380" w:lineRule="exact"/>
              <w:ind w:left="735"/>
            </w:pPr>
            <w:r>
              <w:rPr>
                <w:color w:val="000000"/>
              </w:rPr>
              <w:t>掌握散热设备的分类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使用条件</w:t>
            </w:r>
            <w:r>
              <w:rPr>
                <w:rFonts w:hint="eastAsia"/>
                <w:color w:val="000000"/>
              </w:rPr>
              <w:t>和</w:t>
            </w:r>
            <w:r>
              <w:rPr>
                <w:color w:val="000000"/>
              </w:rPr>
              <w:t>选型方法</w:t>
            </w:r>
            <w:r>
              <w:rPr>
                <w:rFonts w:hint="eastAsia"/>
                <w:color w:val="000000"/>
              </w:rPr>
              <w:t>。</w:t>
            </w:r>
          </w:p>
          <w:p w14:paraId="43457162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室内</w:t>
            </w:r>
            <w:r>
              <w:rPr>
                <w:sz w:val="24"/>
              </w:rPr>
              <w:t>供</w:t>
            </w:r>
            <w:r>
              <w:rPr>
                <w:rFonts w:hint="eastAsia"/>
                <w:sz w:val="24"/>
              </w:rPr>
              <w:t>暖</w:t>
            </w:r>
            <w:r>
              <w:rPr>
                <w:sz w:val="24"/>
              </w:rPr>
              <w:t>系统</w:t>
            </w:r>
          </w:p>
          <w:p w14:paraId="5A1B8488">
            <w:pPr>
              <w:pStyle w:val="6"/>
              <w:numPr>
                <w:ilvl w:val="0"/>
                <w:numId w:val="3"/>
              </w:numPr>
              <w:spacing w:line="380" w:lineRule="exact"/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掌握重力循环供暖系统循环作用力的特点及计算方法</w:t>
            </w:r>
            <w:r>
              <w:rPr>
                <w:rFonts w:hint="eastAsia"/>
                <w:color w:val="000000"/>
              </w:rPr>
              <w:t>；</w:t>
            </w:r>
          </w:p>
          <w:p w14:paraId="6CB83DA1">
            <w:pPr>
              <w:pStyle w:val="6"/>
              <w:numPr>
                <w:ilvl w:val="0"/>
                <w:numId w:val="3"/>
              </w:numPr>
              <w:spacing w:line="380" w:lineRule="exact"/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掌握各供暖系统的特点及使用条件，高层建筑供暖设计热负荷计算的特殊性及系统的布置特点</w:t>
            </w:r>
            <w:r>
              <w:rPr>
                <w:rFonts w:hint="eastAsia"/>
                <w:color w:val="000000"/>
              </w:rPr>
              <w:t>；</w:t>
            </w:r>
          </w:p>
          <w:p w14:paraId="73213CBA">
            <w:pPr>
              <w:pStyle w:val="6"/>
              <w:numPr>
                <w:ilvl w:val="0"/>
                <w:numId w:val="3"/>
              </w:numPr>
              <w:spacing w:line="380" w:lineRule="exact"/>
              <w:ind w:firstLineChars="0"/>
            </w:pPr>
            <w:r>
              <w:rPr>
                <w:color w:val="000000"/>
              </w:rPr>
              <w:t>掌握热水供暖系统的主要设备和附件</w:t>
            </w:r>
            <w:r>
              <w:rPr>
                <w:rFonts w:hint="eastAsia"/>
                <w:color w:val="000000"/>
              </w:rPr>
              <w:t>；</w:t>
            </w:r>
          </w:p>
          <w:p w14:paraId="5D23937F">
            <w:pPr>
              <w:pStyle w:val="6"/>
              <w:numPr>
                <w:ilvl w:val="0"/>
                <w:numId w:val="3"/>
              </w:numPr>
              <w:spacing w:line="380" w:lineRule="exact"/>
              <w:ind w:firstLineChars="0"/>
            </w:pPr>
            <w:r>
              <w:rPr>
                <w:color w:val="000000"/>
              </w:rPr>
              <w:t>掌握机械循环热水供暖系统水力计算方法</w:t>
            </w:r>
            <w:r>
              <w:rPr>
                <w:rFonts w:hint="eastAsia"/>
                <w:color w:val="000000"/>
              </w:rPr>
              <w:t>；</w:t>
            </w:r>
          </w:p>
          <w:p w14:paraId="38DE4694">
            <w:pPr>
              <w:pStyle w:val="6"/>
              <w:numPr>
                <w:ilvl w:val="0"/>
                <w:numId w:val="3"/>
              </w:numPr>
              <w:spacing w:line="380" w:lineRule="exact"/>
              <w:ind w:firstLineChars="0"/>
            </w:pPr>
            <w:r>
              <w:rPr>
                <w:color w:val="000000"/>
              </w:rPr>
              <w:t>掌握机械循环热水供暖同、异程系统的水力计算</w:t>
            </w:r>
            <w:r>
              <w:rPr>
                <w:rFonts w:hint="eastAsia"/>
                <w:color w:val="000000"/>
              </w:rPr>
              <w:t>。</w:t>
            </w:r>
          </w:p>
          <w:p w14:paraId="424674A1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集中供暖</w:t>
            </w:r>
            <w:r>
              <w:rPr>
                <w:sz w:val="24"/>
              </w:rPr>
              <w:t>系统</w:t>
            </w:r>
          </w:p>
          <w:p w14:paraId="23F52EAA">
            <w:pPr>
              <w:ind w:firstLine="420" w:firstLineChars="200"/>
            </w:pPr>
            <w:r>
              <w:rPr>
                <w:rFonts w:hint="eastAsia"/>
              </w:rPr>
              <w:t>1．</w:t>
            </w:r>
            <w:r>
              <w:t>掌握</w:t>
            </w:r>
            <w:r>
              <w:rPr>
                <w:rFonts w:hint="eastAsia"/>
              </w:rPr>
              <w:t>集中供热</w:t>
            </w:r>
            <w:r>
              <w:t>热负荷的</w:t>
            </w:r>
            <w:r>
              <w:rPr>
                <w:rFonts w:hint="eastAsia"/>
              </w:rPr>
              <w:t>概算和特征；掌握热力站热力流程，换热器原理及选型；</w:t>
            </w:r>
          </w:p>
          <w:p w14:paraId="100BF1FF">
            <w:pPr>
              <w:ind w:firstLine="420"/>
            </w:pPr>
            <w:r>
              <w:rPr>
                <w:rFonts w:hint="eastAsia"/>
              </w:rPr>
              <w:t>2．</w:t>
            </w:r>
            <w:r>
              <w:t>掌握</w:t>
            </w:r>
            <w:r>
              <w:rPr>
                <w:rFonts w:hint="eastAsia"/>
              </w:rPr>
              <w:t>供热系统用户与热水网路的连接形式及具体应用；</w:t>
            </w:r>
            <w:r>
              <w:t>掌握</w:t>
            </w:r>
            <w:r>
              <w:rPr>
                <w:rFonts w:hint="eastAsia"/>
              </w:rPr>
              <w:t>热水网路水力计算的基本公式和方法；</w:t>
            </w:r>
            <w:r>
              <w:t>掌握</w:t>
            </w:r>
            <w:r>
              <w:rPr>
                <w:rFonts w:hint="eastAsia"/>
              </w:rPr>
              <w:t>热水网路水力工况的分析和计算。</w:t>
            </w:r>
          </w:p>
          <w:p w14:paraId="415FA3FB">
            <w:pPr>
              <w:ind w:firstLine="420"/>
            </w:pPr>
          </w:p>
          <w:p w14:paraId="7C83975A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空调工程</w:t>
            </w:r>
            <w:r>
              <w:rPr>
                <w:rFonts w:ascii="黑体" w:hAnsi="黑体" w:eastAsia="黑体"/>
                <w:sz w:val="24"/>
              </w:rPr>
              <w:t xml:space="preserve">部分: </w:t>
            </w:r>
          </w:p>
          <w:p w14:paraId="5F525DE4">
            <w:pPr>
              <w:pStyle w:val="6"/>
              <w:numPr>
                <w:ilvl w:val="0"/>
                <w:numId w:val="4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sz w:val="24"/>
              </w:rPr>
              <w:t>空气的热湿处理</w:t>
            </w:r>
          </w:p>
          <w:p w14:paraId="75E8D9F4">
            <w:pPr>
              <w:pStyle w:val="6"/>
              <w:numPr>
                <w:ilvl w:val="0"/>
                <w:numId w:val="5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掌握焓湿图的应用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>掌握</w:t>
            </w:r>
            <w:r>
              <w:rPr>
                <w:rFonts w:hint="eastAsia"/>
                <w:color w:val="000000"/>
              </w:rPr>
              <w:t>空调负荷及</w:t>
            </w:r>
            <w:r>
              <w:rPr>
                <w:color w:val="000000"/>
              </w:rPr>
              <w:t>相关设计参数</w:t>
            </w:r>
            <w:r>
              <w:rPr>
                <w:rFonts w:hint="eastAsia"/>
                <w:color w:val="000000"/>
              </w:rPr>
              <w:t>的</w:t>
            </w:r>
            <w:r>
              <w:rPr>
                <w:color w:val="000000"/>
              </w:rPr>
              <w:t>计算方法</w:t>
            </w:r>
            <w:r>
              <w:rPr>
                <w:rFonts w:hint="eastAsia"/>
                <w:color w:val="000000"/>
              </w:rPr>
              <w:t>；</w:t>
            </w:r>
          </w:p>
          <w:p w14:paraId="00FE5596">
            <w:pPr>
              <w:pStyle w:val="6"/>
              <w:numPr>
                <w:ilvl w:val="0"/>
                <w:numId w:val="5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掌握空气状态变化典型处理过程及处理使用设备工作原理</w:t>
            </w:r>
            <w:r>
              <w:rPr>
                <w:rFonts w:hint="eastAsia"/>
                <w:color w:val="000000"/>
              </w:rPr>
              <w:t>。</w:t>
            </w:r>
          </w:p>
          <w:p w14:paraId="38261D5B">
            <w:pPr>
              <w:pStyle w:val="6"/>
              <w:numPr>
                <w:ilvl w:val="0"/>
                <w:numId w:val="4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sz w:val="24"/>
              </w:rPr>
              <w:t>空气调节系统</w:t>
            </w:r>
          </w:p>
          <w:p w14:paraId="2940F8F0">
            <w:pPr>
              <w:pStyle w:val="6"/>
              <w:numPr>
                <w:ilvl w:val="0"/>
                <w:numId w:val="6"/>
              </w:numPr>
              <w:ind w:firstLineChars="0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掌握空调系统新风量计算方法</w:t>
            </w:r>
            <w:r>
              <w:rPr>
                <w:rFonts w:hint="eastAsia"/>
                <w:color w:val="000000"/>
                <w:szCs w:val="22"/>
              </w:rPr>
              <w:t>；</w:t>
            </w:r>
            <w:r>
              <w:rPr>
                <w:color w:val="000000"/>
                <w:szCs w:val="22"/>
              </w:rPr>
              <w:t>掌握一次回风系统和二次回风系统空气变化过程和计算</w:t>
            </w:r>
            <w:r>
              <w:rPr>
                <w:rFonts w:hint="eastAsia"/>
                <w:color w:val="000000"/>
                <w:szCs w:val="22"/>
              </w:rPr>
              <w:t>；</w:t>
            </w:r>
            <w:r>
              <w:rPr>
                <w:color w:val="000000"/>
                <w:szCs w:val="22"/>
              </w:rPr>
              <w:t>掌握变风量系统、半集中式系统和局部机组的组成和工作原理。</w:t>
            </w:r>
          </w:p>
          <w:p w14:paraId="3C9ADC11">
            <w:pPr>
              <w:pStyle w:val="6"/>
              <w:numPr>
                <w:ilvl w:val="0"/>
                <w:numId w:val="6"/>
              </w:numPr>
              <w:ind w:firstLineChars="0"/>
              <w:rPr>
                <w:color w:val="000000"/>
                <w:szCs w:val="22"/>
              </w:rPr>
            </w:pPr>
            <w:r>
              <w:rPr>
                <w:color w:val="000000"/>
              </w:rPr>
              <w:t>掌握系统送</w:t>
            </w:r>
            <w:r>
              <w:rPr>
                <w:rFonts w:hint="eastAsia"/>
                <w:color w:val="000000"/>
              </w:rPr>
              <w:t>、</w:t>
            </w:r>
            <w:r>
              <w:rPr>
                <w:color w:val="000000"/>
              </w:rPr>
              <w:t>回风形式、送回风口的特性参数，掌握典型射流计算</w:t>
            </w:r>
            <w:r>
              <w:rPr>
                <w:rFonts w:hint="eastAsia"/>
                <w:color w:val="000000"/>
              </w:rPr>
              <w:t>方法。</w:t>
            </w:r>
          </w:p>
          <w:p w14:paraId="1BF93997">
            <w:pPr>
              <w:pStyle w:val="6"/>
              <w:numPr>
                <w:ilvl w:val="0"/>
                <w:numId w:val="4"/>
              </w:numPr>
              <w:ind w:firstLineChars="0"/>
              <w:rPr>
                <w:sz w:val="24"/>
              </w:rPr>
            </w:pPr>
            <w:r>
              <w:rPr>
                <w:sz w:val="24"/>
              </w:rPr>
              <w:t>空气的净化与质量控制</w:t>
            </w:r>
          </w:p>
          <w:p w14:paraId="43231F49">
            <w:pPr>
              <w:pStyle w:val="6"/>
              <w:numPr>
                <w:ilvl w:val="0"/>
                <w:numId w:val="7"/>
              </w:numPr>
              <w:ind w:firstLineChars="0"/>
              <w:rPr>
                <w:color w:val="000000"/>
              </w:rPr>
            </w:pPr>
            <w:r>
              <w:rPr>
                <w:color w:val="000000"/>
                <w:szCs w:val="22"/>
              </w:rPr>
              <w:t>掌握</w:t>
            </w:r>
            <w:r>
              <w:rPr>
                <w:color w:val="000000"/>
              </w:rPr>
              <w:t>空气的洁净等级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>掌握过滤器类型和效率实验方法</w:t>
            </w:r>
            <w:r>
              <w:rPr>
                <w:rFonts w:hint="eastAsia"/>
                <w:color w:val="000000"/>
              </w:rPr>
              <w:t>；</w:t>
            </w:r>
            <w:r>
              <w:rPr>
                <w:color w:val="000000"/>
              </w:rPr>
              <w:t>掌握空气净化模型的原理和空气净化的基本方案</w:t>
            </w:r>
            <w:r>
              <w:rPr>
                <w:rFonts w:hint="eastAsia"/>
                <w:color w:val="000000"/>
              </w:rPr>
              <w:t>。</w:t>
            </w:r>
          </w:p>
          <w:p w14:paraId="35740DA9">
            <w:pPr>
              <w:rPr>
                <w:rFonts w:ascii="黑体" w:hAnsi="黑体" w:eastAsia="黑体"/>
                <w:b/>
                <w:sz w:val="24"/>
              </w:rPr>
            </w:pPr>
          </w:p>
          <w:p w14:paraId="403CD394">
            <w:pPr>
              <w:rPr>
                <w:rFonts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通风工程</w:t>
            </w:r>
            <w:r>
              <w:rPr>
                <w:rFonts w:ascii="黑体" w:hAnsi="黑体" w:eastAsia="黑体"/>
                <w:sz w:val="24"/>
              </w:rPr>
              <w:t xml:space="preserve">部分 </w:t>
            </w:r>
          </w:p>
          <w:p w14:paraId="6BE69F35">
            <w:pPr>
              <w:pStyle w:val="6"/>
              <w:numPr>
                <w:ilvl w:val="0"/>
                <w:numId w:val="8"/>
              </w:numPr>
              <w:spacing w:line="380" w:lineRule="exact"/>
              <w:ind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通风基本原理与</w:t>
            </w:r>
            <w:r>
              <w:rPr>
                <w:sz w:val="24"/>
              </w:rPr>
              <w:t>设计计算</w:t>
            </w:r>
          </w:p>
          <w:p w14:paraId="09769849">
            <w:pPr>
              <w:pStyle w:val="6"/>
              <w:numPr>
                <w:ilvl w:val="0"/>
                <w:numId w:val="9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掌握全面通风换气量的确定计算、质量平衡和热平衡；掌握置换通风、事故通风</w:t>
            </w:r>
            <w:r>
              <w:rPr>
                <w:rFonts w:hint="eastAsia"/>
                <w:color w:val="000000"/>
              </w:rPr>
              <w:t>；</w:t>
            </w:r>
          </w:p>
          <w:p w14:paraId="25BCEEE1">
            <w:pPr>
              <w:pStyle w:val="6"/>
              <w:numPr>
                <w:ilvl w:val="0"/>
                <w:numId w:val="9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掌握自然通风作用原理和设计计算</w:t>
            </w:r>
            <w:r>
              <w:rPr>
                <w:rFonts w:hint="eastAsia"/>
                <w:color w:val="000000"/>
              </w:rPr>
              <w:t>；</w:t>
            </w:r>
          </w:p>
          <w:p w14:paraId="744022F1">
            <w:pPr>
              <w:pStyle w:val="6"/>
              <w:numPr>
                <w:ilvl w:val="0"/>
                <w:numId w:val="9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掌握局部排风的设计原则和计算；掌握各种排风罩的排风原理</w:t>
            </w:r>
            <w:r>
              <w:rPr>
                <w:rFonts w:hint="eastAsia"/>
                <w:color w:val="000000"/>
              </w:rPr>
              <w:t>；</w:t>
            </w:r>
          </w:p>
          <w:p w14:paraId="5B897CD9">
            <w:pPr>
              <w:pStyle w:val="6"/>
              <w:numPr>
                <w:ilvl w:val="0"/>
                <w:numId w:val="9"/>
              </w:numPr>
              <w:ind w:firstLineChars="0"/>
              <w:rPr>
                <w:color w:val="000000"/>
              </w:rPr>
            </w:pPr>
            <w:r>
              <w:rPr>
                <w:color w:val="000000"/>
              </w:rPr>
              <w:t>掌握粉尘的净化方法；掌握除尘器原理及适用；掌握有害气体的净化</w:t>
            </w:r>
            <w:r>
              <w:rPr>
                <w:rFonts w:hint="eastAsia"/>
                <w:color w:val="000000"/>
              </w:rPr>
              <w:t>原理</w:t>
            </w:r>
            <w:r>
              <w:rPr>
                <w:color w:val="000000"/>
              </w:rPr>
              <w:t>与</w:t>
            </w:r>
            <w:r>
              <w:rPr>
                <w:rFonts w:hint="eastAsia"/>
                <w:color w:val="000000"/>
              </w:rPr>
              <w:t>方法。</w:t>
            </w:r>
          </w:p>
          <w:p w14:paraId="44877011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二、</w:t>
            </w:r>
            <w:r>
              <w:rPr>
                <w:sz w:val="24"/>
              </w:rPr>
              <w:t>防烟排烟通风</w:t>
            </w:r>
          </w:p>
          <w:p w14:paraId="1AE310D9">
            <w:pPr>
              <w:spacing w:line="38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color w:val="000000"/>
              </w:rPr>
              <w:t xml:space="preserve"> 掌握防烟、排烟通风设计与控制</w:t>
            </w:r>
            <w:r>
              <w:rPr>
                <w:rFonts w:hint="eastAsia"/>
                <w:color w:val="000000"/>
              </w:rPr>
              <w:t>方法。</w:t>
            </w:r>
          </w:p>
          <w:p w14:paraId="140A120D">
            <w:p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三、</w:t>
            </w:r>
            <w:r>
              <w:rPr>
                <w:sz w:val="24"/>
              </w:rPr>
              <w:t>通风管道系统的设计计算</w:t>
            </w:r>
          </w:p>
          <w:p w14:paraId="61633F8F">
            <w:pPr>
              <w:spacing w:line="380" w:lineRule="exact"/>
              <w:ind w:firstLine="420" w:firstLineChars="20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1.</w:t>
            </w:r>
            <w:r>
              <w:rPr>
                <w:color w:val="000000"/>
              </w:rPr>
              <w:t xml:space="preserve"> 掌握风管内压力分布、通风管道设计计算</w:t>
            </w:r>
            <w:r>
              <w:rPr>
                <w:rFonts w:hint="eastAsia"/>
                <w:color w:val="000000"/>
              </w:rPr>
              <w:t>。</w:t>
            </w:r>
          </w:p>
          <w:p w14:paraId="2CC26258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133E2CEA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7E97E422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427690F4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7A8BE2F6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7FEA4021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390506E5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  <w:p w14:paraId="0C6B703E">
            <w:pPr>
              <w:widowControl/>
              <w:jc w:val="left"/>
              <w:rPr>
                <w:rFonts w:ascii="宋体"/>
                <w:color w:val="000000"/>
                <w:kern w:val="0"/>
                <w:sz w:val="24"/>
                <w:szCs w:val="24"/>
              </w:rPr>
            </w:pPr>
          </w:p>
        </w:tc>
      </w:tr>
      <w:tr w14:paraId="5388C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3" w:hRule="atLeast"/>
        </w:trPr>
        <w:tc>
          <w:tcPr>
            <w:tcW w:w="9180" w:type="dxa"/>
            <w:vAlign w:val="center"/>
          </w:tcPr>
          <w:p w14:paraId="56C88B44">
            <w:pPr>
              <w:rPr>
                <w:rFonts w:hAnsi="宋体"/>
              </w:rPr>
            </w:pPr>
            <w:r>
              <w:rPr>
                <w:rFonts w:hint="eastAsia" w:hAnsi="宋体"/>
              </w:rPr>
              <w:t>参考书目：</w:t>
            </w:r>
          </w:p>
          <w:p w14:paraId="32244205">
            <w:pPr>
              <w:pStyle w:val="2"/>
              <w:rPr>
                <w:rFonts w:ascii="Times New Roman" w:hAnsi="宋体" w:cs="Times New Roman"/>
                <w:sz w:val="21"/>
                <w:szCs w:val="21"/>
              </w:rPr>
            </w:pPr>
            <w:r>
              <w:rPr>
                <w:rFonts w:ascii="Times New Roman" w:hAnsi="宋体" w:cs="Times New Roman"/>
                <w:sz w:val="21"/>
                <w:szCs w:val="21"/>
              </w:rPr>
              <w:t>1.《供热工程》邹平华主编.中国建筑工业出版社  2018</w:t>
            </w:r>
          </w:p>
          <w:p w14:paraId="340597E4">
            <w:pPr>
              <w:pStyle w:val="2"/>
              <w:rPr>
                <w:rFonts w:ascii="Times New Roman" w:hAnsi="宋体" w:cs="Times New Roman"/>
                <w:sz w:val="21"/>
                <w:szCs w:val="21"/>
              </w:rPr>
            </w:pPr>
            <w:r>
              <w:rPr>
                <w:rFonts w:ascii="Times New Roman" w:hAnsi="宋体" w:cs="Times New Roman"/>
                <w:sz w:val="21"/>
                <w:szCs w:val="21"/>
              </w:rPr>
              <w:t>2.《实用供热通风与空气调节设计手册》（第二版）陆耀庆主编 .中国建筑工业出版社  2008</w:t>
            </w:r>
          </w:p>
          <w:p w14:paraId="55A0CE65">
            <w:pPr>
              <w:pStyle w:val="2"/>
              <w:rPr>
                <w:rFonts w:ascii="Times New Roman" w:hAnsi="宋体" w:cs="Times New Roman"/>
                <w:sz w:val="21"/>
                <w:szCs w:val="21"/>
              </w:rPr>
            </w:pPr>
            <w:r>
              <w:rPr>
                <w:rFonts w:ascii="Times New Roman" w:hAnsi="宋体" w:cs="Times New Roman"/>
                <w:sz w:val="21"/>
                <w:szCs w:val="21"/>
              </w:rPr>
              <w:t>3.《空气调节》 赵荣义主编.北京.中国建筑工业出版社 2009</w:t>
            </w:r>
          </w:p>
          <w:p w14:paraId="02BB6120">
            <w:pPr>
              <w:pStyle w:val="2"/>
              <w:rPr>
                <w:rFonts w:hAnsi="宋体"/>
              </w:rPr>
            </w:pPr>
            <w:r>
              <w:rPr>
                <w:rFonts w:ascii="Times New Roman" w:hAnsi="宋体" w:cs="Times New Roman"/>
                <w:sz w:val="21"/>
                <w:szCs w:val="21"/>
              </w:rPr>
              <w:t>4.《通风工程》（第二版）王汉青主编.北京.机械工业出版社 2018</w:t>
            </w:r>
          </w:p>
        </w:tc>
      </w:tr>
    </w:tbl>
    <w:p w14:paraId="602D5D7C"/>
    <w:sectPr>
      <w:pgSz w:w="11906" w:h="16838"/>
      <w:pgMar w:top="1440" w:right="1797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singleLevel"/>
    <w:tmpl w:val="0000000C"/>
    <w:lvl w:ilvl="0" w:tentative="0">
      <w:start w:val="1"/>
      <w:numFmt w:val="japaneseCounting"/>
      <w:lvlText w:val="%1、"/>
      <w:lvlJc w:val="left"/>
      <w:pPr>
        <w:tabs>
          <w:tab w:val="left" w:pos="480"/>
        </w:tabs>
        <w:ind w:left="480" w:hanging="480"/>
      </w:pPr>
    </w:lvl>
  </w:abstractNum>
  <w:abstractNum w:abstractNumId="1">
    <w:nsid w:val="00000011"/>
    <w:multiLevelType w:val="singleLevel"/>
    <w:tmpl w:val="00000011"/>
    <w:lvl w:ilvl="0" w:tentative="0">
      <w:start w:val="1"/>
      <w:numFmt w:val="decimal"/>
      <w:lvlText w:val="%1．"/>
      <w:lvlJc w:val="left"/>
      <w:pPr>
        <w:tabs>
          <w:tab w:val="left" w:pos="315"/>
        </w:tabs>
        <w:ind w:left="315" w:hanging="315"/>
      </w:pPr>
    </w:lvl>
  </w:abstractNum>
  <w:abstractNum w:abstractNumId="2">
    <w:nsid w:val="00FE2CCC"/>
    <w:multiLevelType w:val="multilevel"/>
    <w:tmpl w:val="00FE2CCC"/>
    <w:lvl w:ilvl="0" w:tentative="0">
      <w:start w:val="1"/>
      <w:numFmt w:val="decimal"/>
      <w:lvlText w:val="%1．"/>
      <w:lvlJc w:val="left"/>
      <w:pPr>
        <w:ind w:left="780" w:hanging="360"/>
      </w:pPr>
      <w:rPr>
        <w:rFonts w:hint="default"/>
        <w:color w:val="auto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32C6BDA"/>
    <w:multiLevelType w:val="multilevel"/>
    <w:tmpl w:val="032C6BDA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0B3E68B7"/>
    <w:multiLevelType w:val="multilevel"/>
    <w:tmpl w:val="0B3E68B7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16487683"/>
    <w:multiLevelType w:val="multilevel"/>
    <w:tmpl w:val="16487683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ED27578"/>
    <w:multiLevelType w:val="multilevel"/>
    <w:tmpl w:val="2ED27578"/>
    <w:lvl w:ilvl="0" w:tentative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CF373DF"/>
    <w:multiLevelType w:val="multilevel"/>
    <w:tmpl w:val="3CF373DF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52BF3315"/>
    <w:multiLevelType w:val="multilevel"/>
    <w:tmpl w:val="52BF3315"/>
    <w:lvl w:ilvl="0" w:tentative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TU3OWJmYjk0MjM4MGIwYTQzMzNlM2ZjZThhZjJjYzEifQ=="/>
  </w:docVars>
  <w:rsids>
    <w:rsidRoot w:val="00317EDD"/>
    <w:rsid w:val="0000701A"/>
    <w:rsid w:val="00026679"/>
    <w:rsid w:val="00097FF9"/>
    <w:rsid w:val="001B4BB8"/>
    <w:rsid w:val="001D7D15"/>
    <w:rsid w:val="00203C95"/>
    <w:rsid w:val="00204620"/>
    <w:rsid w:val="00287EFA"/>
    <w:rsid w:val="00291BD9"/>
    <w:rsid w:val="00317EDD"/>
    <w:rsid w:val="00380B28"/>
    <w:rsid w:val="003C53C3"/>
    <w:rsid w:val="00464D53"/>
    <w:rsid w:val="00513009"/>
    <w:rsid w:val="00552A30"/>
    <w:rsid w:val="005C7D18"/>
    <w:rsid w:val="007008D5"/>
    <w:rsid w:val="00745C81"/>
    <w:rsid w:val="00835D22"/>
    <w:rsid w:val="00967528"/>
    <w:rsid w:val="00A04092"/>
    <w:rsid w:val="00B604C4"/>
    <w:rsid w:val="00BA0CF1"/>
    <w:rsid w:val="00C07E52"/>
    <w:rsid w:val="00C66E97"/>
    <w:rsid w:val="00CE0F51"/>
    <w:rsid w:val="00DA73ED"/>
    <w:rsid w:val="00ED4E87"/>
    <w:rsid w:val="00FF2E02"/>
    <w:rsid w:val="0459755C"/>
    <w:rsid w:val="167F3873"/>
    <w:rsid w:val="21704C4D"/>
    <w:rsid w:val="2AAE08C8"/>
    <w:rsid w:val="2C277664"/>
    <w:rsid w:val="2F275621"/>
    <w:rsid w:val="340C0D19"/>
    <w:rsid w:val="396A0E1F"/>
    <w:rsid w:val="425B3F26"/>
    <w:rsid w:val="44CE7894"/>
    <w:rsid w:val="53A254AD"/>
    <w:rsid w:val="7AEC0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link w:val="5"/>
    <w:qFormat/>
    <w:uiPriority w:val="99"/>
    <w:rPr>
      <w:rFonts w:ascii="宋体" w:cs="宋体"/>
      <w:sz w:val="24"/>
      <w:szCs w:val="24"/>
    </w:rPr>
  </w:style>
  <w:style w:type="character" w:customStyle="1" w:styleId="5">
    <w:name w:val="正文文本 2 字符"/>
    <w:link w:val="2"/>
    <w:qFormat/>
    <w:locked/>
    <w:uiPriority w:val="99"/>
    <w:rPr>
      <w:rFonts w:ascii="宋体" w:hAnsi="Times New Roman" w:eastAsia="宋体" w:cs="宋体"/>
      <w:sz w:val="20"/>
      <w:szCs w:val="20"/>
    </w:rPr>
  </w:style>
  <w:style w:type="paragraph" w:styleId="6">
    <w:name w:val="List Paragraph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2</Pages>
  <Words>901</Words>
  <Characters>922</Characters>
  <Lines>7</Lines>
  <Paragraphs>2</Paragraphs>
  <TotalTime>19</TotalTime>
  <ScaleCrop>false</ScaleCrop>
  <LinksUpToDate>false</LinksUpToDate>
  <CharactersWithSpaces>938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2017-09-03T17:15:00Z</dcterms:created>
  <dc:creator>Administrator</dc:creator>
  <cp:lastModifiedBy>平淡从容</cp:lastModifiedBy>
  <dcterms:modified xsi:type="dcterms:W3CDTF">2025-09-15T00:24:32Z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1D6B2F267B1C47A4ABCAB454C9BE3471</vt:lpwstr>
  </property>
  <property fmtid="{D5CDD505-2E9C-101B-9397-08002B2CF9AE}" pid="4" name="KSOTemplateDocerSaveRecord">
    <vt:lpwstr>eyJoZGlkIjoiMTU3OWJmYjk0MjM4MGIwYTQzMzNlM2ZjZThhZjJjYzEiLCJ1c2VySWQiOiIyMDc0NTQyNTQifQ==</vt:lpwstr>
  </property>
</Properties>
</file>