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7EE2F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东北林业大学</w:t>
      </w:r>
    </w:p>
    <w:p w14:paraId="37E89BA0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6"/>
          <w:szCs w:val="36"/>
        </w:rPr>
        <w:t>年硕士研究生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招生</w:t>
      </w:r>
      <w:r>
        <w:rPr>
          <w:rFonts w:hint="eastAsia" w:ascii="宋体" w:hAnsi="宋体" w:cs="宋体"/>
          <w:b/>
          <w:bCs/>
          <w:sz w:val="36"/>
          <w:szCs w:val="36"/>
        </w:rPr>
        <w:t>考试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复试</w:t>
      </w:r>
      <w:r>
        <w:rPr>
          <w:rFonts w:hint="eastAsia" w:ascii="宋体" w:hAnsi="宋体" w:cs="宋体"/>
          <w:b/>
          <w:bCs/>
          <w:sz w:val="36"/>
          <w:szCs w:val="36"/>
        </w:rPr>
        <w:t>科目考试大纲</w:t>
      </w:r>
    </w:p>
    <w:p w14:paraId="6EB62346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7D70FDA1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复试</w:t>
      </w:r>
      <w:r>
        <w:rPr>
          <w:rFonts w:hint="eastAsia" w:ascii="宋体" w:hAnsi="宋体" w:cs="宋体"/>
          <w:b/>
          <w:bCs/>
          <w:sz w:val="24"/>
          <w:szCs w:val="24"/>
        </w:rPr>
        <w:t>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交通规划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tbl>
      <w:tblPr>
        <w:tblStyle w:val="3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58B2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 w14:paraId="6ECF4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/>
                <w:sz w:val="24"/>
                <w:szCs w:val="24"/>
              </w:rPr>
            </w:pPr>
          </w:p>
          <w:p w14:paraId="5C554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  <w:bookmarkStart w:id="0" w:name="_GoBack"/>
            <w:bookmarkEnd w:id="0"/>
          </w:p>
          <w:p w14:paraId="43D151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交通规划概论</w:t>
            </w:r>
          </w:p>
          <w:p w14:paraId="5AB8A2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要求考生掌握交通规划的定义、分类与层次划分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.</w:t>
            </w:r>
          </w:p>
          <w:p w14:paraId="392692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要求考生掌握交通规划的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目的与任务.</w:t>
            </w:r>
          </w:p>
          <w:p w14:paraId="696C02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要求考生掌握交通规划的期限与影响范围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3F406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 w:themeColor="text1"/>
              </w:rPr>
            </w:pPr>
          </w:p>
          <w:p w14:paraId="553FE7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</w:rPr>
              <w:t>交通调查与数据分析</w:t>
            </w:r>
          </w:p>
          <w:p w14:paraId="1759C9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要求考生掌握面向交通规划的资料采集内容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7DF8EA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要求考生掌握交通区划分的目的与原则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26C185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要求考生掌握城市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和区域</w:t>
            </w:r>
            <w:r>
              <w:rPr>
                <w:rFonts w:hint="eastAsia" w:cs="宋体"/>
                <w:color w:val="000000" w:themeColor="text1"/>
              </w:rPr>
              <w:t>社会经济及土地利用基础资料调查的内容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404E49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要求考生掌握起讫点调查的概念及常用术语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5C583D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要求考生掌握城市道路交通规划 OD 调查项目、抽样方法及步骤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2790A3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要求考生掌握城市居民出行 OD 调查、流动人口出行 OD 调查的内容和方法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073BB7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要求考生掌握城市机动车出行 OD 调查的分类、内容与方法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7A24DF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 OD 调查资料统计分析的基本内容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4F36D6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要求考生掌握城市道路交通量调查内容与方法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 xml:space="preserve">, </w:t>
            </w:r>
            <w:r>
              <w:rPr>
                <w:rFonts w:hint="eastAsia" w:cs="宋体"/>
                <w:color w:val="000000" w:themeColor="text1"/>
              </w:rPr>
              <w:t>以及城市道路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和区域</w:t>
            </w:r>
            <w:r>
              <w:rPr>
                <w:rFonts w:hint="eastAsia" w:cs="宋体"/>
                <w:color w:val="000000" w:themeColor="text1"/>
              </w:rPr>
              <w:t>交通基础设施调查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的</w:t>
            </w:r>
            <w:r>
              <w:rPr>
                <w:rFonts w:hint="eastAsia" w:cs="宋体"/>
                <w:color w:val="000000" w:themeColor="text1"/>
              </w:rPr>
              <w:t>内容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6718B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Arial"/>
                <w:color w:val="000000" w:themeColor="text1"/>
                <w:sz w:val="21"/>
              </w:rPr>
            </w:pPr>
          </w:p>
          <w:p w14:paraId="00C0CF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</w:rPr>
              <w:t>交通需求预测</w:t>
            </w:r>
          </w:p>
          <w:p w14:paraId="1E4D6A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要求考生掌握“ 四阶段 ”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交通</w:t>
            </w:r>
            <w:r>
              <w:rPr>
                <w:rFonts w:hint="eastAsia" w:cs="宋体"/>
                <w:color w:val="000000" w:themeColor="text1"/>
              </w:rPr>
              <w:t>预测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模型</w:t>
            </w:r>
            <w:r>
              <w:rPr>
                <w:rFonts w:hint="eastAsia" w:cs="宋体"/>
                <w:color w:val="000000" w:themeColor="text1"/>
              </w:rPr>
              <w:t>的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发展历史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060A43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要求考生掌握交通生成预测的定义与影响因素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79E7F3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要求考生掌握交通生成总量预测、发生和吸引量预测的原单位法和交叉分类法原理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0FD335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要求考生掌握交通分布预测的定义及预测方法分类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424A75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要求考生掌握交通分布预测的增长系数法原理、分类及优缺点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6DF9BD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要求考生掌握交通分布预测的重力模型法原理、分类及优缺点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31358F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要求考生掌握交通分布预测的随机概率模型分类及优缺点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5EC41D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要求考生掌握交通方式划分的定义与作用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, 集计分析和非集计分析的区别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5252E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要求考生掌握交通方式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划分</w:t>
            </w:r>
            <w:r>
              <w:rPr>
                <w:rFonts w:hint="eastAsia" w:cs="宋体"/>
                <w:color w:val="000000" w:themeColor="text1"/>
              </w:rPr>
              <w:t>预测的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实用</w:t>
            </w:r>
            <w:r>
              <w:rPr>
                <w:rFonts w:hint="eastAsia" w:cs="宋体"/>
                <w:color w:val="000000" w:themeColor="text1"/>
              </w:rPr>
              <w:t>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7A599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Arial"/>
                <w:color w:val="000000" w:themeColor="text1"/>
                <w:sz w:val="21"/>
              </w:rPr>
            </w:pPr>
          </w:p>
          <w:p w14:paraId="42BE83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</w:rPr>
              <w:t>交通网络分析</w:t>
            </w:r>
          </w:p>
          <w:p w14:paraId="7A220E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要求考生掌握交通分配的定义与作用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4A08CB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要求考生掌握道路网络信息化处理、邻接矩阵、邻接目录表、权矩阵的含义和表示方法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2B02FC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要求考生掌握路阻函数与路权的定义、路段路阻函数的常用模型及其特点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6A493D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要求考生掌握车流运行速度随交通负荷变化的规律，以及零流车速的确定方法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5AA6BA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要求考生掌握交通分配方法的分类、划分依据，以及各类交通分配方法的适用条件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1C7BE5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 xml:space="preserve">Wardrop第一原理和第二原理, </w:t>
            </w:r>
            <w:r>
              <w:rPr>
                <w:rFonts w:hint="eastAsia" w:cs="宋体"/>
                <w:color w:val="000000" w:themeColor="text1"/>
              </w:rPr>
              <w:t>以及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平衡模型和非平衡模型的判别条件.</w:t>
            </w:r>
          </w:p>
          <w:p w14:paraId="4CCE83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要求考生掌握用户平衡分配模型、系统最优分配模型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, 以及有效路段和有效路径的概念.</w:t>
            </w:r>
          </w:p>
          <w:p w14:paraId="64651B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要求考生掌握最短路交通分配方法、容量限制交通分配方法、多路径交通分配方法、容量限制-多路径交通分配方法的原理、特点及流程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32CE4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Arial"/>
                <w:color w:val="000000" w:themeColor="text1"/>
                <w:sz w:val="21"/>
              </w:rPr>
            </w:pPr>
          </w:p>
          <w:p w14:paraId="47DDA8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</w:rPr>
              <w:t>城市综合交通规划</w:t>
            </w:r>
          </w:p>
          <w:p w14:paraId="2B18FF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要求考生理解城市综合交通规划的定义及作用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5A6618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要求考生掌握城市综合交通规划的任务和内容、层次和范围，以及编制工作程序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015370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要求考生掌握城市交通发展战略规划的定义、基本任务、特点和基本原则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45B742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城市远期交通需求分析方法.</w:t>
            </w:r>
          </w:p>
          <w:p w14:paraId="48CB6E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要求考生掌握城市中长期交通体系规划的内容、目标与要求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7C43BC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要求考生掌握城市交通近期治理规划的目标、内容与基本原则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32F09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Arial"/>
                <w:color w:val="000000" w:themeColor="text1"/>
                <w:sz w:val="21"/>
              </w:rPr>
            </w:pPr>
          </w:p>
          <w:p w14:paraId="648E10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</w:rPr>
              <w:t>城市道路网规划</w:t>
            </w:r>
          </w:p>
          <w:p w14:paraId="18A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要求考生掌握城市道路网布局影响因素、布局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结构</w:t>
            </w:r>
            <w:r>
              <w:rPr>
                <w:rFonts w:hint="eastAsia" w:cs="宋体"/>
                <w:color w:val="000000" w:themeColor="text1"/>
              </w:rPr>
              <w:t>及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布局</w:t>
            </w:r>
            <w:r>
              <w:rPr>
                <w:rFonts w:hint="eastAsia" w:cs="宋体"/>
                <w:color w:val="000000" w:themeColor="text1"/>
              </w:rPr>
              <w:t>规划方法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711843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要求考生理解快速路、主干路、次干路及支路的主要功能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 xml:space="preserve">, </w:t>
            </w:r>
            <w:r>
              <w:rPr>
                <w:rFonts w:hint="eastAsia" w:cs="宋体"/>
                <w:color w:val="000000" w:themeColor="text1"/>
              </w:rPr>
              <w:t>以及交叉口控制性规划的内容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1E7B8C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掌握城市道路立体和平面交通口规划应符合的规定.</w:t>
            </w:r>
          </w:p>
          <w:p w14:paraId="6C14A3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要求考生掌握城市道路横断面的定义、组成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,</w:t>
            </w:r>
            <w:r>
              <w:rPr>
                <w:rFonts w:hint="eastAsia" w:cs="宋体"/>
                <w:color w:val="000000" w:themeColor="text1"/>
              </w:rPr>
              <w:t xml:space="preserve"> 以及路幅宽度、红线及红线宽度的定义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3FC96D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要求考生掌握城市道路横断面的形式及其适用条件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5AE807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道路网络方案技术评价和经济评价的指标及定义.</w:t>
            </w:r>
          </w:p>
          <w:p w14:paraId="11647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Arial"/>
                <w:color w:val="000000" w:themeColor="text1"/>
                <w:sz w:val="21"/>
              </w:rPr>
            </w:pPr>
          </w:p>
          <w:p w14:paraId="6EC3EF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</w:rPr>
              <w:t>城市公共交通规划</w:t>
            </w:r>
          </w:p>
          <w:p w14:paraId="285743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要求考生掌握城市公共交通规划的具体任务、分类（按规划期不同）及其规划内容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74158A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要求考生掌握城市轨道交通线网结构形式及其适用条件、规划原则与方法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3BBF5C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要求考生掌握常规公交线路的分类与分级、线网规划的主要技术指标及公交站场的分类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55204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要求考生掌握公交优先的分类，以及公交路权优先的措施、形式、特点、模式与适用范围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14AC1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Arial"/>
                <w:color w:val="000000" w:themeColor="text1"/>
                <w:sz w:val="21"/>
              </w:rPr>
            </w:pPr>
          </w:p>
          <w:p w14:paraId="4CE75F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</w:rPr>
              <w:t>停车设施规划</w:t>
            </w:r>
          </w:p>
          <w:p w14:paraId="61F39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要求考生掌握停车设施的分类、停车规划的相关术语和流程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78C9C3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要求考生掌握停车发展策略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,</w:t>
            </w:r>
            <w:r>
              <w:rPr>
                <w:rFonts w:hint="eastAsia" w:cs="宋体"/>
                <w:color w:val="000000" w:themeColor="text1"/>
              </w:rPr>
              <w:t xml:space="preserve"> 以及停车需求预测的方法及其原理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4B99CA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</w:rPr>
            </w:pPr>
            <w:r>
              <w:rPr>
                <w:rFonts w:hint="eastAsia" w:cs="宋体"/>
                <w:color w:val="000000" w:themeColor="text1"/>
              </w:rPr>
              <w:t>要求考生掌握停车场选址需考虑的主要因素</w:t>
            </w:r>
            <w:r>
              <w:rPr>
                <w:rFonts w:hint="eastAsia" w:cs="宋体"/>
                <w:color w:val="000000" w:themeColor="text1"/>
                <w:lang w:val="en-US" w:eastAsia="zh-CN"/>
              </w:rPr>
              <w:t>,</w:t>
            </w:r>
            <w:r>
              <w:rPr>
                <w:rFonts w:hint="eastAsia" w:cs="宋体"/>
                <w:color w:val="000000" w:themeColor="text1"/>
              </w:rPr>
              <w:t xml:space="preserve"> 以及布局规划原则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  <w:r>
              <w:rPr>
                <w:rFonts w:hint="eastAsia" w:cs="宋体"/>
                <w:color w:val="000000" w:themeColor="text1"/>
              </w:rPr>
              <w:t xml:space="preserve"> </w:t>
            </w:r>
          </w:p>
          <w:p w14:paraId="13B2B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735"/>
              <w:textAlignment w:val="auto"/>
              <w:rPr>
                <w:rFonts w:hint="eastAsia" w:cs="宋体"/>
                <w:color w:val="000000" w:themeColor="text1"/>
                <w:lang w:eastAsia="zh-CN"/>
              </w:rPr>
            </w:pPr>
            <w:r>
              <w:rPr>
                <w:rFonts w:hint="eastAsia" w:cs="宋体"/>
                <w:color w:val="000000" w:themeColor="text1"/>
              </w:rPr>
              <w:t>要求考生掌握停车诱导系统的定义、作用及规划方法</w:t>
            </w:r>
            <w:r>
              <w:rPr>
                <w:rFonts w:hint="eastAsia" w:cs="宋体"/>
                <w:color w:val="000000" w:themeColor="text1"/>
                <w:lang w:eastAsia="zh-CN"/>
              </w:rPr>
              <w:t>.</w:t>
            </w:r>
          </w:p>
          <w:p w14:paraId="0C6B7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14:paraId="5388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9180" w:type="dxa"/>
            <w:vAlign w:val="center"/>
          </w:tcPr>
          <w:p w14:paraId="37DDF2A9">
            <w:pPr>
              <w:pStyle w:val="2"/>
              <w:jc w:val="left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参考书目：《交通规划》（第二版），王炜、陈学武主编，人民交通出版社股份有限公司，</w:t>
            </w:r>
          </w:p>
          <w:p w14:paraId="02BB6120">
            <w:pPr>
              <w:pStyle w:val="2"/>
              <w:jc w:val="left"/>
              <w:rPr>
                <w:rFonts w:hint="eastAsia" w:hAnsi="宋体" w:eastAsia="宋体" w:cs="Times New Roman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2017</w:t>
            </w:r>
          </w:p>
        </w:tc>
      </w:tr>
    </w:tbl>
    <w:p w14:paraId="602D5D7C">
      <w:pPr>
        <w:ind w:firstLine="420"/>
      </w:pPr>
    </w:p>
    <w:sectPr>
      <w:pgSz w:w="11906" w:h="16838"/>
      <w:pgMar w:top="1440" w:right="1797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7B381E"/>
    <w:multiLevelType w:val="singleLevel"/>
    <w:tmpl w:val="C37B381E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>
    <w:nsid w:val="C56192BB"/>
    <w:multiLevelType w:val="singleLevel"/>
    <w:tmpl w:val="C56192BB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000004"/>
    <w:multiLevelType w:val="singleLevel"/>
    <w:tmpl w:val="00000004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3">
    <w:nsid w:val="0000000C"/>
    <w:multiLevelType w:val="singleLevel"/>
    <w:tmpl w:val="0000000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4">
    <w:nsid w:val="17079BF3"/>
    <w:multiLevelType w:val="singleLevel"/>
    <w:tmpl w:val="17079BF3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5">
    <w:nsid w:val="2A1E43F4"/>
    <w:multiLevelType w:val="singleLevel"/>
    <w:tmpl w:val="2A1E43F4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6">
    <w:nsid w:val="3E3B5D46"/>
    <w:multiLevelType w:val="singleLevel"/>
    <w:tmpl w:val="3E3B5D46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7">
    <w:nsid w:val="48C5E69A"/>
    <w:multiLevelType w:val="singleLevel"/>
    <w:tmpl w:val="48C5E69A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8">
    <w:nsid w:val="78BFEFA7"/>
    <w:multiLevelType w:val="singleLevel"/>
    <w:tmpl w:val="78BFEFA7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NiOWMxYWRlYTE2YzExMmU1NzU4NjE1OThlZDYzYzQifQ=="/>
  </w:docVars>
  <w:rsids>
    <w:rsidRoot w:val="00317EDD"/>
    <w:rsid w:val="0000701A"/>
    <w:rsid w:val="00026679"/>
    <w:rsid w:val="00097FF9"/>
    <w:rsid w:val="001B4BB8"/>
    <w:rsid w:val="001D7D15"/>
    <w:rsid w:val="00203C95"/>
    <w:rsid w:val="00204620"/>
    <w:rsid w:val="00291BD9"/>
    <w:rsid w:val="00317EDD"/>
    <w:rsid w:val="00380B28"/>
    <w:rsid w:val="00464D53"/>
    <w:rsid w:val="00513009"/>
    <w:rsid w:val="00552A30"/>
    <w:rsid w:val="007008D5"/>
    <w:rsid w:val="00745C81"/>
    <w:rsid w:val="00835D22"/>
    <w:rsid w:val="00967528"/>
    <w:rsid w:val="00B604C4"/>
    <w:rsid w:val="00BA0CF1"/>
    <w:rsid w:val="00CE0F51"/>
    <w:rsid w:val="00DA73ED"/>
    <w:rsid w:val="00FF2E02"/>
    <w:rsid w:val="019F636B"/>
    <w:rsid w:val="02A91875"/>
    <w:rsid w:val="0459755C"/>
    <w:rsid w:val="0EAE46B3"/>
    <w:rsid w:val="1078260D"/>
    <w:rsid w:val="167F3873"/>
    <w:rsid w:val="21704C4D"/>
    <w:rsid w:val="2C277664"/>
    <w:rsid w:val="2F275621"/>
    <w:rsid w:val="300A35B0"/>
    <w:rsid w:val="30580729"/>
    <w:rsid w:val="30906B46"/>
    <w:rsid w:val="396A0E1F"/>
    <w:rsid w:val="425B3F26"/>
    <w:rsid w:val="44CE7894"/>
    <w:rsid w:val="4C7235E0"/>
    <w:rsid w:val="4E436253"/>
    <w:rsid w:val="526F4DA7"/>
    <w:rsid w:val="53A254AD"/>
    <w:rsid w:val="5B694C04"/>
    <w:rsid w:val="5BB0230B"/>
    <w:rsid w:val="601C7B74"/>
    <w:rsid w:val="609C5B02"/>
    <w:rsid w:val="64A8205C"/>
    <w:rsid w:val="674A0506"/>
    <w:rsid w:val="6C6C165E"/>
    <w:rsid w:val="6C831752"/>
    <w:rsid w:val="7317111E"/>
    <w:rsid w:val="78A07216"/>
    <w:rsid w:val="7AEC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99"/>
    <w:rPr>
      <w:rFonts w:ascii="宋体" w:cs="宋体"/>
      <w:sz w:val="24"/>
      <w:szCs w:val="24"/>
    </w:rPr>
  </w:style>
  <w:style w:type="character" w:customStyle="1" w:styleId="5">
    <w:name w:val="Body Text 2 Char"/>
    <w:basedOn w:val="4"/>
    <w:link w:val="2"/>
    <w:qFormat/>
    <w:locked/>
    <w:uiPriority w:val="99"/>
    <w:rPr>
      <w:rFonts w:ascii="宋体" w:hAnsi="Times New Roman" w:eastAsia="宋体" w:cs="宋体"/>
      <w:sz w:val="20"/>
      <w:szCs w:val="20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2</Pages>
  <Words>1580</Words>
  <Characters>1597</Characters>
  <Lines>0</Lines>
  <Paragraphs>0</Paragraphs>
  <TotalTime>5</TotalTime>
  <ScaleCrop>false</ScaleCrop>
  <LinksUpToDate>false</LinksUpToDate>
  <CharactersWithSpaces>1631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平淡从容</cp:lastModifiedBy>
  <dcterms:modified xsi:type="dcterms:W3CDTF">2025-09-15T00:23:51Z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1D6B2F267B1C47A4ABCAB454C9BE3471</vt:lpwstr>
  </property>
  <property fmtid="{D5CDD505-2E9C-101B-9397-08002B2CF9AE}" pid="4" name="KSOTemplateDocerSaveRecord">
    <vt:lpwstr>eyJoZGlkIjoiMTU3OWJmYjk0MjM4MGIwYTQzMzNlM2ZjZThhZjJjYzEiLCJ1c2VySWQiOiIyMDc0NTQyNTQifQ==</vt:lpwstr>
  </property>
</Properties>
</file>